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6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ascii="PT Astra Serif" w:hAnsi="PT Astra Serif" w:eastAsia="PT Astra Serif" w:cs="PT Astra Serif"/>
          <w:b/>
          <w:sz w:val="24"/>
          <w:szCs w:val="24"/>
        </w:rPr>
        <w:t xml:space="preserve">Аналитическая записка по изменению законодательства РФ, </w:t>
      </w:r>
      <w:r>
        <w:rPr>
          <w:rFonts w:ascii="PT Astra Serif" w:hAnsi="PT Astra Serif" w:eastAsia="PT Astra Serif" w:cs="PT Astra Serif"/>
          <w:b/>
          <w:sz w:val="24"/>
          <w:szCs w:val="24"/>
        </w:rPr>
      </w:r>
      <w:r>
        <w:rPr>
          <w:rFonts w:ascii="PT Astra Serif" w:hAnsi="PT Astra Serif" w:cs="PT Astra Serif"/>
          <w:b/>
          <w:sz w:val="24"/>
          <w:szCs w:val="24"/>
        </w:rPr>
      </w:r>
    </w:p>
    <w:p>
      <w:pPr>
        <w:pStyle w:val="706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ascii="PT Astra Serif" w:hAnsi="PT Astra Serif" w:eastAsia="PT Astra Serif" w:cs="PT Astra Serif"/>
          <w:b/>
          <w:sz w:val="24"/>
          <w:szCs w:val="24"/>
        </w:rPr>
        <w:t xml:space="preserve">а также издание органом нормативного регулирования писем разъяснительного характера, </w:t>
      </w:r>
      <w:r>
        <w:rPr>
          <w:rFonts w:ascii="PT Astra Serif" w:hAnsi="PT Astra Serif" w:eastAsia="PT Astra Serif" w:cs="PT Astra Serif"/>
          <w:b/>
          <w:sz w:val="24"/>
          <w:szCs w:val="24"/>
        </w:rPr>
      </w:r>
      <w:r>
        <w:rPr>
          <w:rFonts w:ascii="PT Astra Serif" w:hAnsi="PT Astra Serif" w:cs="PT Astra Serif"/>
          <w:b/>
          <w:sz w:val="24"/>
          <w:szCs w:val="24"/>
        </w:rPr>
      </w:r>
    </w:p>
    <w:p>
      <w:pPr>
        <w:pStyle w:val="706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ascii="PT Astra Serif" w:hAnsi="PT Astra Serif" w:eastAsia="PT Astra Serif" w:cs="PT Astra Serif"/>
          <w:b/>
          <w:sz w:val="24"/>
          <w:szCs w:val="24"/>
        </w:rPr>
        <w:t xml:space="preserve">касающихся деятельности Филиала, изданных (опубликованных) в июле 2026 года</w:t>
      </w:r>
      <w:r>
        <w:rPr>
          <w:rFonts w:ascii="PT Astra Serif" w:hAnsi="PT Astra Serif" w:eastAsia="PT Astra Serif" w:cs="PT Astra Serif"/>
          <w:b/>
          <w:sz w:val="24"/>
          <w:szCs w:val="24"/>
        </w:rPr>
      </w:r>
      <w:r>
        <w:rPr>
          <w:rFonts w:ascii="PT Astra Serif" w:hAnsi="PT Astra Serif" w:cs="PT Astra Serif"/>
          <w:b/>
          <w:sz w:val="24"/>
          <w:szCs w:val="24"/>
        </w:rPr>
      </w:r>
    </w:p>
    <w:p>
      <w:pPr>
        <w:pStyle w:val="706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ascii="PT Astra Serif" w:hAnsi="PT Astra Serif" w:eastAsia="PT Astra Serif" w:cs="PT Astra Serif"/>
          <w:b/>
          <w:sz w:val="24"/>
          <w:szCs w:val="24"/>
        </w:rPr>
      </w:r>
      <w:r>
        <w:rPr>
          <w:rFonts w:ascii="PT Astra Serif" w:hAnsi="PT Astra Serif" w:eastAsia="PT Astra Serif" w:cs="PT Astra Serif"/>
          <w:b/>
          <w:sz w:val="24"/>
          <w:szCs w:val="24"/>
        </w:rPr>
      </w:r>
      <w:r>
        <w:rPr>
          <w:rFonts w:ascii="PT Astra Serif" w:hAnsi="PT Astra Serif" w:cs="PT Astra Serif"/>
          <w:b/>
          <w:sz w:val="24"/>
          <w:szCs w:val="24"/>
        </w:rPr>
      </w:r>
    </w:p>
    <w:tbl>
      <w:tblPr>
        <w:tblStyle w:val="939"/>
        <w:tblW w:w="1516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7"/>
        <w:gridCol w:w="2721"/>
        <w:gridCol w:w="4730"/>
        <w:gridCol w:w="6892"/>
      </w:tblGrid>
      <w:tr>
        <w:tblPrEx/>
        <w:trPr>
          <w:trHeight w:val="1155"/>
        </w:trPr>
        <w:tc>
          <w:tcPr>
            <w:tcW w:w="817" w:type="dxa"/>
            <w:textDirection w:val="lrTb"/>
            <w:noWrap w:val="false"/>
          </w:tcPr>
          <w:p>
            <w:pPr>
              <w:pStyle w:val="706"/>
              <w:jc w:val="center"/>
              <w:spacing w:before="0" w:after="60"/>
              <w:widowControl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  <w:lang w:val="ru-RU" w:bidi="ar-SA"/>
              </w:rPr>
              <w:t xml:space="preserve">№</w:t>
            </w: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</w:tc>
        <w:tc>
          <w:tcPr>
            <w:tcW w:w="2721" w:type="dxa"/>
            <w:textDirection w:val="lrTb"/>
            <w:noWrap w:val="false"/>
          </w:tcPr>
          <w:p>
            <w:pPr>
              <w:pStyle w:val="706"/>
              <w:jc w:val="center"/>
              <w:spacing w:before="0" w:after="60"/>
              <w:widowControl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  <w:lang w:val="ru-RU" w:bidi="ar-SA"/>
              </w:rPr>
              <w:t xml:space="preserve">Наименование органа, издавшего документ, дата вступления в силу</w:t>
            </w: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</w:tc>
        <w:tc>
          <w:tcPr>
            <w:tcW w:w="4730" w:type="dxa"/>
            <w:textDirection w:val="lrTb"/>
            <w:noWrap w:val="false"/>
          </w:tcPr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  <w:lang w:val="ru-RU" w:bidi="ar-SA"/>
              </w:rPr>
              <w:t xml:space="preserve">Источник нормативного регулирования:</w:t>
            </w: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  <w:lang w:val="ru-RU" w:bidi="ar-SA"/>
              </w:rPr>
              <w:t xml:space="preserve">Нормативно-правовые акты, разъяснительные письма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ru-RU" w:bidi="ar-SA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W w:w="6892" w:type="dxa"/>
            <w:textDirection w:val="lrTb"/>
            <w:noWrap w:val="false"/>
          </w:tcPr>
          <w:p>
            <w:pPr>
              <w:pStyle w:val="706"/>
              <w:jc w:val="both"/>
              <w:spacing w:before="0" w:after="0"/>
              <w:widowControl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ru-RU" w:bidi="ar-SA"/>
              </w:rPr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ru-RU" w:bidi="ar-SA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ru-RU" w:bidi="ar-SA"/>
              </w:rPr>
              <w:t xml:space="preserve">Содержание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ru-RU" w:bidi="ar-SA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>
          <w:trHeight w:val="32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  <w:t xml:space="preserve">1.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2721" w:type="dxa"/>
            <w:vMerge w:val="restart"/>
            <w:textDirection w:val="lrTb"/>
            <w:noWrap w:val="false"/>
          </w:tcPr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  <w:t xml:space="preserve">Государственная Дума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 25.10.2026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</w:p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473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Федеральный закон</w:t>
              <w:br/>
              <w:t xml:space="preserve">от 26.07.2026 № 263-ФЗ</w:t>
              <w:br/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«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О внесении изменений в статью 12 Федерального закона «О государственной регистрации недвижимости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»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6892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Закон устанавл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4"/>
                <w:szCs w:val="24"/>
              </w:rPr>
              <w:t xml:space="preserve">ивает 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4"/>
                <w:szCs w:val="24"/>
              </w:rPr>
              <w:t xml:space="preserve">порядок прекращения воспроизведения отображенных на публичной кадастровой карте сведений </w:t>
              <w:br/>
              <w:t xml:space="preserve">о важных государственных, особо важных, особо режимных, режимных, критически важных и потенциально опасных объектах, включая объекты топливно-энергетическог</w:t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4"/>
                <w:szCs w:val="24"/>
              </w:rPr>
              <w:t xml:space="preserve">о комплекса и объекты транспортной инфраструктуры.</w:t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before="0" w:after="0" w:line="288" w:lineRule="atLeast"/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Прекращение воспроизведения отображенных на публичной кадастровой карте указанных сведений или возобновление </w:t>
              <w:br/>
              <w:t xml:space="preserve">их отображения осуществляется на основании представляемого </w:t>
              <w:br/>
              <w:t xml:space="preserve">в орган регистрации прав заявления: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федеральных органов исполнительной власти, ГК «Росатом», ГК «Ростех» или </w:t>
              <w:br/>
              <w:t xml:space="preserve">ГК «Роскосмос»;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правообладателя объекта недвижимости.</w:t>
            </w:r>
            <w:r/>
            <w:r/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ля рассмотрения просьбы правообладателя в Росреестре должна быть создана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оценочная комиссия. На ее заседание смогут пригласить в том числе такого заявителя. По результатам заседания примут решение, прекращать ли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отображение информации. Отказ предусмотрен, только если заявление подано не в целях защиты упомянутых и прочих объектов.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В случае положительного решения сведения уберут с карты </w:t>
              <w:br/>
              <w:t xml:space="preserve">в течение 7 рабочих дней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 с даты получения заявления.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Возобновлять отображение данных будут в аналогичном порядке.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</w:p>
        </w:tc>
      </w:tr>
      <w:tr>
        <w:tblPrEx/>
        <w:trPr>
          <w:trHeight w:val="4275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  <w:t xml:space="preserve">2.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2721" w:type="dxa"/>
            <w:vMerge w:val="restart"/>
            <w:textDirection w:val="lrTb"/>
            <w:noWrap w:val="false"/>
          </w:tcPr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  <w:t xml:space="preserve">Государственная Дума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  <w:t xml:space="preserve">01.09.2027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473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Федеральный закон </w:t>
              <w:br/>
              <w:t xml:space="preserve">от 26.07.2025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№271-ФЗ</w:t>
              <w:br/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«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О внесении изменений в Федеральный закон «О почтовой связи» и отдельные законодательные акты Российской Федерации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»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spacing w:before="0" w:after="0" w:line="57" w:lineRule="atLeast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6892" w:type="dxa"/>
            <w:vMerge w:val="restart"/>
            <w:textDirection w:val="lrTb"/>
            <w:noWrap w:val="false"/>
          </w:tcPr>
          <w:p>
            <w:pPr>
              <w:pStyle w:val="812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Законом предусмотрено создание электронной почтовой системы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. Ее станут использовать, в частности, для приема </w:t>
              <w:br/>
              <w:t xml:space="preserve">и доставки заявлений, уведомлений, извещений, требований </w:t>
              <w:br/>
              <w:t xml:space="preserve">и прочих юридически значимых сообщений.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</w:p>
          <w:p>
            <w:pPr>
              <w:pStyle w:val="812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 01.09.2027 года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Госуслугах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у юридических лиц, индивидуальных предпринимателей и других физических лиц, которые зарегистрированы в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ЕСИА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, появятся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электронные почтовые ящики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. Через них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можно будет обмениваться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документами и сообщениями. В системе предусмотрят функцию поиска адресатов. В ряде случаев юридически значимые сообщения, которые направляют по условиям сделки или правовых актов,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станут приходить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в том числе на такие ящики.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</w:p>
          <w:p>
            <w:pPr>
              <w:pStyle w:val="812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По общим правилам за использование ящика необходимо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 будет платить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. Если не внести деньги, доступ к нему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приостановят </w:t>
              <w:br/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до момента оплаты. Правительство установит размер платежей, порядок и сроки их взимания.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>
          <w:trHeight w:val="32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  <w:t xml:space="preserve">3.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2721" w:type="dxa"/>
            <w:vMerge w:val="restart"/>
            <w:textDirection w:val="lrTb"/>
            <w:noWrap w:val="false"/>
          </w:tcPr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  <w:lang w:val="ru-RU" w:bidi="ar-SA"/>
              </w:rPr>
              <w:t xml:space="preserve">Государственная Дума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yellow"/>
              </w:rPr>
            </w:r>
          </w:p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yellow"/>
                <w:lang w:val="ru-RU" w:bidi="ar-SA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yellow"/>
              </w:rPr>
            </w:r>
          </w:p>
          <w:p>
            <w:pPr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yellow"/>
                <w:lang w:val="ru-RU" w:bidi="ar-SA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yellow"/>
              </w:rPr>
            </w:r>
          </w:p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W w:w="473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Проект ф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едерального закона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№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 1153238-8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О внесении изменений </w:t>
              <w:br/>
              <w:t xml:space="preserve">в Земельный кодекс Российской Федерации и статью 3-7 Федерального закона «О введении в действие Земельного кодекса Российской Федерации»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pacing w:val="1"/>
                <w:sz w:val="24"/>
                <w:szCs w:val="24"/>
                <w:highlight w:val="white"/>
              </w:rPr>
              <w:t xml:space="preserve">(о продлении упрощённого порядка оформления земельных участков под гаражами)</w:t>
            </w:r>
            <w:r>
              <w:rPr>
                <w:rFonts w:ascii="PT Astra Serif" w:hAnsi="PT Astra Serif" w:eastAsia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</w:p>
        </w:tc>
        <w:tc>
          <w:tcPr>
            <w:tcW w:w="6892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  <w:shd w:val="clear" w:color="ffffff" w:fill="ffffff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e0e0e"/>
                <w:sz w:val="24"/>
                <w:szCs w:val="24"/>
              </w:rPr>
              <w:t xml:space="preserve">Упрощенный порядок регистрации прав на некоторые гаражи </w:t>
              <w:br/>
              <w:t xml:space="preserve">и участки под ними будет доступен гражданам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до 01.09.2031,</w:t>
              <w:br/>
              <w:t xml:space="preserve"> в настоящее время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до 01.09.2026</w:t>
            </w:r>
            <w:r>
              <w:rPr>
                <w:rFonts w:ascii="PT Astra Serif" w:hAnsi="PT Astra Serif" w:eastAsia="PT Astra Serif" w:cs="PT Astra Serif"/>
                <w:color w:val="0e0e0e"/>
                <w:sz w:val="24"/>
                <w:szCs w:val="24"/>
              </w:rPr>
              <w:t xml:space="preserve">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before="0" w:after="0" w:line="240" w:lineRule="auto"/>
              <w:shd w:val="clear" w:color="ffffff" w:fill="ffffff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e0e0e"/>
                <w:sz w:val="24"/>
                <w:szCs w:val="24"/>
              </w:rPr>
              <w:t xml:space="preserve">Амнистия касается капитальных гаражей, которые возвели ранее 30.12.2004 года и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не признали </w:t>
            </w:r>
            <w:r>
              <w:rPr>
                <w:rFonts w:ascii="PT Astra Serif" w:hAnsi="PT Astra Serif" w:eastAsia="PT Astra Serif" w:cs="PT Astra Serif"/>
                <w:color w:val="0e0e0e"/>
                <w:sz w:val="24"/>
                <w:szCs w:val="24"/>
              </w:rPr>
              <w:t xml:space="preserve">самовольными постройками. Право на землю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регистрируют </w:t>
            </w:r>
            <w:r>
              <w:rPr>
                <w:rFonts w:ascii="PT Astra Serif" w:hAnsi="PT Astra Serif" w:eastAsia="PT Astra Serif" w:cs="PT Astra Serif"/>
                <w:color w:val="0e0e0e"/>
                <w:sz w:val="24"/>
                <w:szCs w:val="24"/>
              </w:rPr>
              <w:t xml:space="preserve">одновременно </w:t>
              <w:br/>
              <w:t xml:space="preserve">с постановкой гаража на кадастровый учет и регистрацией права собственности на гараж.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before="0" w:after="0" w:line="288" w:lineRule="atLeast"/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4"/>
                <w:szCs w:val="24"/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PT Astra Serif" w:hAnsi="PT Astra Serif" w:eastAsia="PT Astra Serif" w:cs="PT Astra Serif"/>
                <w:b w:val="0"/>
                <w:bCs w:val="0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PT Astra Serif" w:hAnsi="PT Astra Serif" w:cs="PT Astra Serif"/>
                <w:b w:val="0"/>
                <w:bCs w:val="0"/>
                <w:color w:val="000000" w:themeColor="text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32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  <w:t xml:space="preserve">4.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2721" w:type="dxa"/>
            <w:vMerge w:val="restart"/>
            <w:textDirection w:val="lrTb"/>
            <w:noWrap w:val="false"/>
          </w:tcPr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  <w:t xml:space="preserve">Росреестр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  <w:lang w:val="ru-RU" w:bidi="ar-SA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  <w:t xml:space="preserve">03.08.2026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473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Приказ Росреестра от 24.06.2026 </w:t>
              <w:br/>
              <w:t xml:space="preserve">№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П/0304/26</w:t>
              <w:br/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«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Об утверждении Административного регламента Федеральной службы государственной регистрации, кадастра </w:t>
              <w:br/>
              <w:t xml:space="preserve">и картографии по предоставлению государственной услуги «Ведение государственного реестра саморегулируемых организаций операторов электронных площадок»</w:t>
              <w:br/>
              <w:t xml:space="preserve">з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арегистрировано в Минюсте России 23.07.2026 № 87585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W w:w="6892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Государственную услугу предоставляет Росрестр следующим категориям заявителей: некоммерческая организация, созданная в целях развития и регулирования деятельности операторов электронных площадок в соответствии с требованиями Федерального закона «О несостоятельности (банкротст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ве)», СРО операторов электронных площадок либо </w:t>
              <w:br/>
              <w:t xml:space="preserve">их уполномоченные представители.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слугу предоставляет Росреестр.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Определены максимальные сроки предоставления услуги.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За предоставление услуги уплачивается госпошлина </w:t>
              <w:br/>
              <w:t xml:space="preserve">в размере, предусмотренном подпунктом 4 пункта 1 статьи 333.33 НК РФ.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Признан утратившим силу приказ Росреестра </w:t>
              <w:br/>
              <w:t xml:space="preserve">от 07.08.2019 № П/0334.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>
          <w:trHeight w:val="32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  <w:t xml:space="preserve">5.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</w:tc>
        <w:tc>
          <w:tcPr>
            <w:tcW w:w="2721" w:type="dxa"/>
            <w:vMerge w:val="restart"/>
            <w:textDirection w:val="lrTb"/>
            <w:noWrap w:val="false"/>
          </w:tcPr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lang w:val="ru-RU" w:bidi="ar-SA"/>
              </w:rPr>
              <w:t xml:space="preserve">Росреестр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70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документ вступает в силу со дня признания утратившим силу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  <w:u w:val="none"/>
              </w:rPr>
              <w:t xml:space="preserve">Приказа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  <w:t xml:space="preserve"> Минэкономразвития России от 30.10.2017 </w:t>
              <w:br/>
              <w:t xml:space="preserve">№ 575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W w:w="473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Приказ Росреестра </w:t>
              <w:br/>
              <w:t xml:space="preserve">от 23.06.2026 № П/0302/26</w:t>
              <w:br/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«Об утверждении Административного регламента Федеральной службы государственной регистрации, кадастра </w:t>
              <w:br/>
              <w:t xml:space="preserve">и картографии по предоставлению государственной услуги «Ведение государственного реестра саморегулируемых организаций кадастровых инженеров»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зарегистрирован в Минюсте России 23.07.2026 №87586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W w:w="6892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осударственную услугу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 предоставляет Росреестр следующим категориям заявителей: некоммерческая организация, созданная в организационно-правовой форме ассоциации (союза) </w:t>
              <w:br/>
              <w:t xml:space="preserve">и соответствующая требованиям части 3 статьи 30 Федерального закона «О кадастровой деятельности», некоммерче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ская организация, соответствующая требованиям части 2 статьи 30.3 указанного Федерального закона, СРО кадастровых инженеров, национальное объединение СРО кадастровых инженеров либо их уполномоченные представители.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Определены сроки предоставления услуги. </w:t>
              <w:br/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  <w:t xml:space="preserve">За предоставление госуслуги уплачивается госпошлина </w:t>
              <w:br/>
              <w:t xml:space="preserve">в размере, предусмотренном подпунктом 4 пункта 1 статьи 333.33 НК РФ.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</w:rPr>
            </w:r>
          </w:p>
        </w:tc>
      </w:tr>
    </w:tbl>
    <w:p>
      <w:pPr>
        <w:pStyle w:val="706"/>
        <w:rPr>
          <w:rFonts w:ascii="PT Astra Serif" w:hAnsi="PT Astra Serif" w:cs="PT Astra Serif"/>
          <w:color w:val="000000" w:themeColor="text1"/>
          <w:sz w:val="24"/>
          <w:szCs w:val="24"/>
        </w:rPr>
      </w:pPr>
      <w:r>
        <w:rPr>
          <w:rFonts w:ascii="PT Astra Serif" w:hAnsi="PT Astra Serif" w:eastAsia="PT Astra Serif" w:cs="PT Astra Serif"/>
          <w:color w:val="000000" w:themeColor="text1"/>
          <w:sz w:val="24"/>
          <w:szCs w:val="24"/>
        </w:rPr>
      </w:r>
      <w:r>
        <w:rPr>
          <w:rFonts w:ascii="PT Astra Serif" w:hAnsi="PT Astra Serif" w:eastAsia="PT Astra Serif" w:cs="PT Astra Serif"/>
          <w:color w:val="000000" w:themeColor="text1"/>
          <w:sz w:val="24"/>
          <w:szCs w:val="24"/>
        </w:rPr>
      </w:r>
      <w:r>
        <w:rPr>
          <w:rFonts w:ascii="PT Astra Serif" w:hAnsi="PT Astra Serif" w:cs="PT Astra Serif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38" w:h="11906" w:orient="landscape"/>
      <w:pgMar w:top="851" w:right="567" w:bottom="426" w:left="1134" w:header="708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alibri">
    <w:panose1 w:val="020F0502020204030204"/>
  </w:font>
  <w:font w:name="Tahoma">
    <w:panose1 w:val="020B0604030504040204"/>
  </w:font>
  <w:font w:name="Noto Sans Devanagari">
    <w:panose1 w:val="020B0502040504020204"/>
  </w:font>
  <w:font w:name="Courier New">
    <w:panose1 w:val="02070409020205020404"/>
  </w:font>
  <w:font w:name="Segoe UI">
    <w:panose1 w:val="020B0502040504020204"/>
  </w:font>
  <w:font w:name="Wingdings">
    <w:panose1 w:val="05010000000000000000"/>
  </w:font>
  <w:font w:name="Liberation Sans">
    <w:panose1 w:val="020B0604020202020204"/>
  </w:font>
  <w:font w:name="PT Astra Serif">
    <w:panose1 w:val="020A0603040505020204"/>
  </w:font>
  <w:font w:name="Arial">
    <w:panose1 w:val="020B0604020202020204"/>
  </w:font>
  <w:font w:name="Calibri Light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0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PAGE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sz w:val="24"/>
        <w:szCs w:val="24"/>
      </w:rPr>
      <w:t xml:space="preserve">3</w:t>
    </w:r>
    <w:r>
      <w:rPr>
        <w:rFonts w:ascii="Times New Roman" w:hAnsi="Times New Roman" w:cs="Times New Roman"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</w:rPr>
    </w:r>
    <w:r>
      <w:rPr>
        <w:rFonts w:ascii="Times New Roman" w:hAnsi="Times New Roman" w:cs="Times New Roman"/>
        <w:sz w:val="24"/>
        <w:szCs w:val="24"/>
      </w:rPr>
    </w:r>
  </w:p>
  <w:p>
    <w:pPr>
      <w:pStyle w:val="80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/>
      <w:suff w:val="tab"/>
      <w:lvlText w:val="·"/>
      <w:lvlJc w:val="left"/>
      <w:pPr>
        <w:ind w:left="70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/>
      <w:suff w:val="tab"/>
      <w:lvlText w:val="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2">
      <w:start w:val="1"/>
      <w:numFmt w:val="bullet"/>
      <w:isLgl/>
      <w:suff w:val="tab"/>
      <w:lvlText w:val="·"/>
      <w:lvlJc w:val="left"/>
      <w:pPr>
        <w:ind w:left="2149" w:hanging="360"/>
        <w:tabs>
          <w:tab w:val="num" w:pos="0" w:leader="none"/>
        </w:tabs>
      </w:pPr>
      <w:rPr>
        <w:rFonts w:hint="default" w:ascii="Symbol" w:hAnsi="Symbol" w:cs="Symbol"/>
      </w:rPr>
    </w:lvl>
    <w:lvl w:ilvl="3">
      <w:start w:val="1"/>
      <w:numFmt w:val="bullet"/>
      <w:isLgl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5">
      <w:start w:val="1"/>
      <w:numFmt w:val="bullet"/>
      <w:isLgl/>
      <w:suff w:val="tab"/>
      <w:lvlText w:val="·"/>
      <w:lvlJc w:val="left"/>
      <w:pPr>
        <w:ind w:left="4309" w:hanging="360"/>
        <w:tabs>
          <w:tab w:val="num" w:pos="0" w:leader="none"/>
        </w:tabs>
      </w:pPr>
      <w:rPr>
        <w:rFonts w:hint="default" w:ascii="Symbol" w:hAnsi="Symbol" w:cs="Symbol"/>
      </w:rPr>
    </w:lvl>
    <w:lvl w:ilvl="6">
      <w:start w:val="1"/>
      <w:numFmt w:val="bullet"/>
      <w:isLgl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8">
      <w:start w:val="1"/>
      <w:numFmt w:val="bullet"/>
      <w:isLgl/>
      <w:suff w:val="tab"/>
      <w:lvlText w:val="·"/>
      <w:lvlJc w:val="left"/>
      <w:pPr>
        <w:ind w:left="6469" w:hanging="360"/>
        <w:tabs>
          <w:tab w:val="num" w:pos="0" w:leader="none"/>
        </w:tabs>
      </w:pPr>
      <w:rPr>
        <w:rFonts w:hint="default" w:ascii="Symbol" w:hAnsi="Symbol" w:cs="Symbol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705">
    <w:name w:val="No List"/>
    <w:uiPriority w:val="99"/>
    <w:semiHidden/>
    <w:unhideWhenUsed/>
  </w:style>
  <w:style w:type="paragraph" w:styleId="706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707">
    <w:name w:val="Heading 1"/>
    <w:basedOn w:val="706"/>
    <w:next w:val="706"/>
    <w:link w:val="762"/>
    <w:uiPriority w:val="9"/>
    <w:qFormat/>
    <w:pPr>
      <w:keepLines/>
      <w:keepNext/>
      <w:spacing w:before="240" w:after="0" w:line="259" w:lineRule="auto"/>
      <w:outlineLvl w:val="0"/>
    </w:pPr>
    <w:rPr>
      <w:rFonts w:ascii="Calibri Light" w:hAnsi="Calibri Light" w:eastAsia="Arial" w:cs="Arial" w:asciiTheme="majorHAnsi" w:hAnsiTheme="majorHAnsi" w:eastAsiaTheme="majorEastAsia" w:cstheme="majorBidi"/>
      <w:color w:val="2e74b5" w:themeColor="accent1" w:themeShade="BF"/>
      <w:sz w:val="32"/>
      <w:szCs w:val="32"/>
      <w:lang w:eastAsia="en-US"/>
    </w:rPr>
  </w:style>
  <w:style w:type="paragraph" w:styleId="708">
    <w:name w:val="Heading 2"/>
    <w:basedOn w:val="706"/>
    <w:next w:val="706"/>
    <w:link w:val="7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9">
    <w:name w:val="Heading 3"/>
    <w:basedOn w:val="706"/>
    <w:next w:val="706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0">
    <w:name w:val="Heading 4"/>
    <w:basedOn w:val="706"/>
    <w:next w:val="706"/>
    <w:link w:val="73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1">
    <w:name w:val="Heading 5"/>
    <w:basedOn w:val="706"/>
    <w:next w:val="706"/>
    <w:link w:val="7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2">
    <w:name w:val="Heading 6"/>
    <w:basedOn w:val="706"/>
    <w:next w:val="706"/>
    <w:link w:val="7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706"/>
    <w:next w:val="706"/>
    <w:link w:val="73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4">
    <w:name w:val="Heading 8"/>
    <w:basedOn w:val="706"/>
    <w:next w:val="706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5">
    <w:name w:val="Heading 9"/>
    <w:basedOn w:val="706"/>
    <w:next w:val="706"/>
    <w:link w:val="74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6">
    <w:name w:val="Heading 2 Char"/>
    <w:basedOn w:val="731"/>
    <w:uiPriority w:val="9"/>
    <w:qFormat/>
    <w:rPr>
      <w:rFonts w:ascii="Liberation Sans" w:hAnsi="Liberation Sans" w:eastAsia="Liberation Sans" w:cs="Liberation Sans"/>
      <w:sz w:val="34"/>
    </w:rPr>
  </w:style>
  <w:style w:type="character" w:styleId="717">
    <w:name w:val="Heading 3 Char"/>
    <w:basedOn w:val="731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718">
    <w:name w:val="Heading 4 Char"/>
    <w:basedOn w:val="731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19">
    <w:name w:val="Heading 5 Char"/>
    <w:basedOn w:val="731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20">
    <w:name w:val="Heading 6 Char"/>
    <w:basedOn w:val="731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21">
    <w:name w:val="Heading 7 Char"/>
    <w:basedOn w:val="731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22">
    <w:name w:val="Heading 8 Char"/>
    <w:basedOn w:val="731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23">
    <w:name w:val="Heading 9 Char"/>
    <w:basedOn w:val="731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24">
    <w:name w:val="Title Char"/>
    <w:basedOn w:val="731"/>
    <w:uiPriority w:val="10"/>
    <w:qFormat/>
    <w:rPr>
      <w:sz w:val="48"/>
      <w:szCs w:val="48"/>
    </w:rPr>
  </w:style>
  <w:style w:type="character" w:styleId="725">
    <w:name w:val="Subtitle Char"/>
    <w:basedOn w:val="731"/>
    <w:uiPriority w:val="11"/>
    <w:qFormat/>
    <w:rPr>
      <w:sz w:val="24"/>
      <w:szCs w:val="24"/>
    </w:rPr>
  </w:style>
  <w:style w:type="character" w:styleId="726">
    <w:name w:val="Quote Char"/>
    <w:link w:val="782"/>
    <w:uiPriority w:val="29"/>
    <w:qFormat/>
    <w:rPr>
      <w:i/>
    </w:rPr>
  </w:style>
  <w:style w:type="character" w:styleId="727">
    <w:name w:val="Intense Quote Char"/>
    <w:link w:val="783"/>
    <w:uiPriority w:val="30"/>
    <w:qFormat/>
    <w:rPr>
      <w:i/>
    </w:rPr>
  </w:style>
  <w:style w:type="character" w:styleId="728">
    <w:name w:val="Caption Char"/>
    <w:basedOn w:val="731"/>
    <w:uiPriority w:val="35"/>
    <w:qFormat/>
    <w:rPr>
      <w:b/>
      <w:bCs/>
      <w:color w:val="4f81bd" w:themeColor="accent1"/>
      <w:sz w:val="18"/>
      <w:szCs w:val="18"/>
    </w:rPr>
  </w:style>
  <w:style w:type="character" w:styleId="729">
    <w:name w:val="Footnote Text Char"/>
    <w:uiPriority w:val="99"/>
    <w:qFormat/>
    <w:rPr>
      <w:sz w:val="18"/>
    </w:rPr>
  </w:style>
  <w:style w:type="character" w:styleId="730">
    <w:name w:val="Endnote Text Char"/>
    <w:uiPriority w:val="99"/>
    <w:qFormat/>
    <w:rPr>
      <w:sz w:val="20"/>
    </w:rPr>
  </w:style>
  <w:style w:type="character" w:styleId="731" w:default="1">
    <w:name w:val="Default Paragraph Font"/>
    <w:uiPriority w:val="1"/>
    <w:semiHidden/>
    <w:unhideWhenUsed/>
    <w:qFormat/>
  </w:style>
  <w:style w:type="character" w:styleId="732" w:customStyle="1">
    <w:name w:val="Heading 1 Char"/>
    <w:basedOn w:val="731"/>
    <w:uiPriority w:val="9"/>
    <w:qFormat/>
    <w:rPr>
      <w:rFonts w:ascii="Arial" w:hAnsi="Arial" w:eastAsia="Arial" w:cs="Arial"/>
      <w:sz w:val="40"/>
      <w:szCs w:val="40"/>
    </w:rPr>
  </w:style>
  <w:style w:type="character" w:styleId="733" w:customStyle="1">
    <w:name w:val="Заголовок 2 Знак"/>
    <w:basedOn w:val="731"/>
    <w:uiPriority w:val="9"/>
    <w:qFormat/>
    <w:rPr>
      <w:rFonts w:ascii="Arial" w:hAnsi="Arial" w:eastAsia="Arial" w:cs="Arial"/>
      <w:sz w:val="34"/>
    </w:rPr>
  </w:style>
  <w:style w:type="character" w:styleId="734" w:customStyle="1">
    <w:name w:val="Заголовок 3 Знак"/>
    <w:basedOn w:val="731"/>
    <w:uiPriority w:val="9"/>
    <w:qFormat/>
    <w:rPr>
      <w:rFonts w:ascii="Arial" w:hAnsi="Arial" w:eastAsia="Arial" w:cs="Arial"/>
      <w:sz w:val="30"/>
      <w:szCs w:val="30"/>
    </w:rPr>
  </w:style>
  <w:style w:type="character" w:styleId="735" w:customStyle="1">
    <w:name w:val="Заголовок 4 Знак"/>
    <w:basedOn w:val="73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36" w:customStyle="1">
    <w:name w:val="Заголовок 5 Знак"/>
    <w:basedOn w:val="73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37" w:customStyle="1">
    <w:name w:val="Заголовок 6 Знак"/>
    <w:basedOn w:val="73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38" w:customStyle="1">
    <w:name w:val="Заголовок 7 Знак"/>
    <w:basedOn w:val="73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39" w:customStyle="1">
    <w:name w:val="Заголовок 8 Знак"/>
    <w:basedOn w:val="73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0" w:customStyle="1">
    <w:name w:val="Заголовок 9 Знак"/>
    <w:basedOn w:val="73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41" w:customStyle="1">
    <w:name w:val="Название Знак"/>
    <w:basedOn w:val="731"/>
    <w:uiPriority w:val="10"/>
    <w:qFormat/>
    <w:rPr>
      <w:sz w:val="48"/>
      <w:szCs w:val="48"/>
    </w:rPr>
  </w:style>
  <w:style w:type="character" w:styleId="742" w:customStyle="1">
    <w:name w:val="Подзаголовок Знак"/>
    <w:basedOn w:val="731"/>
    <w:uiPriority w:val="11"/>
    <w:qFormat/>
    <w:rPr>
      <w:sz w:val="24"/>
      <w:szCs w:val="24"/>
    </w:rPr>
  </w:style>
  <w:style w:type="character" w:styleId="743" w:customStyle="1">
    <w:name w:val="Цитата 2 Знак"/>
    <w:link w:val="782"/>
    <w:uiPriority w:val="29"/>
    <w:qFormat/>
    <w:rPr>
      <w:i/>
    </w:rPr>
  </w:style>
  <w:style w:type="character" w:styleId="744" w:customStyle="1">
    <w:name w:val="Выделенная цитата Знак"/>
    <w:link w:val="783"/>
    <w:uiPriority w:val="30"/>
    <w:qFormat/>
    <w:rPr>
      <w:i/>
    </w:rPr>
  </w:style>
  <w:style w:type="character" w:styleId="745" w:customStyle="1">
    <w:name w:val="Header Char"/>
    <w:basedOn w:val="731"/>
    <w:uiPriority w:val="99"/>
    <w:qFormat/>
  </w:style>
  <w:style w:type="character" w:styleId="746" w:customStyle="1">
    <w:name w:val="Footer Char"/>
    <w:basedOn w:val="731"/>
    <w:uiPriority w:val="99"/>
    <w:qFormat/>
  </w:style>
  <w:style w:type="character" w:styleId="747" w:customStyle="1">
    <w:name w:val="Название объекта Знак"/>
    <w:basedOn w:val="731"/>
    <w:uiPriority w:val="35"/>
    <w:qFormat/>
    <w:rPr>
      <w:b/>
      <w:bCs/>
      <w:color w:val="5b9bd5" w:themeColor="accent1"/>
      <w:sz w:val="18"/>
      <w:szCs w:val="18"/>
    </w:rPr>
  </w:style>
  <w:style w:type="character" w:styleId="748" w:customStyle="1">
    <w:name w:val="Текст сноски Знак"/>
    <w:uiPriority w:val="99"/>
    <w:qFormat/>
    <w:rPr>
      <w:sz w:val="18"/>
    </w:rPr>
  </w:style>
  <w:style w:type="character" w:styleId="749">
    <w:name w:val="Символ сноски"/>
    <w:uiPriority w:val="99"/>
    <w:unhideWhenUsed/>
    <w:qFormat/>
    <w:rPr>
      <w:vertAlign w:val="superscript"/>
    </w:rPr>
  </w:style>
  <w:style w:type="character" w:styleId="750">
    <w:name w:val="footnote reference"/>
    <w:rPr>
      <w:vertAlign w:val="superscript"/>
    </w:rPr>
  </w:style>
  <w:style w:type="character" w:styleId="751" w:customStyle="1">
    <w:name w:val="Текст концевой сноски Знак"/>
    <w:uiPriority w:val="99"/>
    <w:qFormat/>
    <w:rPr>
      <w:sz w:val="20"/>
    </w:rPr>
  </w:style>
  <w:style w:type="character" w:styleId="75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53">
    <w:name w:val="endnote reference"/>
    <w:rPr>
      <w:vertAlign w:val="superscript"/>
    </w:rPr>
  </w:style>
  <w:style w:type="character" w:styleId="754" w:customStyle="1">
    <w:name w:val="Верхний колонтитул Знак"/>
    <w:basedOn w:val="731"/>
    <w:uiPriority w:val="99"/>
    <w:qFormat/>
  </w:style>
  <w:style w:type="character" w:styleId="755" w:customStyle="1">
    <w:name w:val="Нижний колонтитул Знак"/>
    <w:basedOn w:val="731"/>
    <w:uiPriority w:val="99"/>
    <w:qFormat/>
  </w:style>
  <w:style w:type="character" w:styleId="756" w:customStyle="1">
    <w:name w:val="Текст выноски Знак"/>
    <w:basedOn w:val="731"/>
    <w:link w:val="802"/>
    <w:uiPriority w:val="99"/>
    <w:semiHidden/>
    <w:qFormat/>
    <w:rPr>
      <w:rFonts w:ascii="Segoe UI" w:hAnsi="Segoe UI" w:cs="Segoe UI"/>
      <w:sz w:val="18"/>
      <w:szCs w:val="18"/>
    </w:rPr>
  </w:style>
  <w:style w:type="character" w:styleId="757" w:customStyle="1">
    <w:name w:val="doccaption"/>
    <w:basedOn w:val="731"/>
    <w:qFormat/>
  </w:style>
  <w:style w:type="character" w:styleId="758">
    <w:name w:val="Hyperlink"/>
    <w:basedOn w:val="731"/>
    <w:uiPriority w:val="99"/>
    <w:unhideWhenUsed/>
    <w:rPr>
      <w:color w:val="0000ff"/>
      <w:u w:val="single"/>
    </w:rPr>
  </w:style>
  <w:style w:type="character" w:styleId="759" w:customStyle="1">
    <w:name w:val="Стандартный HTML Знак"/>
    <w:basedOn w:val="731"/>
    <w:link w:val="804"/>
    <w:uiPriority w:val="99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760" w:customStyle="1">
    <w:name w:val="blk"/>
    <w:basedOn w:val="731"/>
    <w:qFormat/>
    <w:rPr>
      <w:vanish w:val="0"/>
    </w:rPr>
  </w:style>
  <w:style w:type="character" w:styleId="761" w:customStyle="1">
    <w:name w:val="nobr"/>
    <w:basedOn w:val="731"/>
    <w:qFormat/>
  </w:style>
  <w:style w:type="character" w:styleId="762" w:customStyle="1">
    <w:name w:val="Заголовок 1 Знак"/>
    <w:basedOn w:val="731"/>
    <w:uiPriority w:val="9"/>
    <w:qFormat/>
    <w:rPr>
      <w:rFonts w:ascii="Calibri Light" w:hAnsi="Calibri Light" w:eastAsia="Arial" w:cs="Arial"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763" w:customStyle="1">
    <w:name w:val="Основной текст_"/>
    <w:basedOn w:val="731"/>
    <w:qFormat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character" w:styleId="764" w:customStyle="1">
    <w:name w:val="oz_naimen"/>
    <w:basedOn w:val="731"/>
    <w:qFormat/>
  </w:style>
  <w:style w:type="character" w:styleId="765" w:customStyle="1">
    <w:name w:val="pt-a0"/>
    <w:basedOn w:val="731"/>
    <w:qFormat/>
  </w:style>
  <w:style w:type="character" w:styleId="766" w:customStyle="1">
    <w:name w:val="pt-a0-000004"/>
    <w:basedOn w:val="731"/>
    <w:qFormat/>
  </w:style>
  <w:style w:type="character" w:styleId="767" w:customStyle="1">
    <w:name w:val="doc__title_important1"/>
    <w:basedOn w:val="731"/>
    <w:qFormat/>
    <w:rPr>
      <w:vanish w:val="0"/>
      <w:color w:val="000000"/>
    </w:rPr>
  </w:style>
  <w:style w:type="character" w:styleId="768">
    <w:name w:val="annotation reference"/>
    <w:basedOn w:val="731"/>
    <w:uiPriority w:val="99"/>
    <w:semiHidden/>
    <w:unhideWhenUsed/>
    <w:qFormat/>
    <w:rPr>
      <w:sz w:val="16"/>
      <w:szCs w:val="16"/>
    </w:rPr>
  </w:style>
  <w:style w:type="character" w:styleId="769" w:customStyle="1">
    <w:name w:val="Текст примечания Знак"/>
    <w:basedOn w:val="731"/>
    <w:uiPriority w:val="99"/>
    <w:semiHidden/>
    <w:qFormat/>
    <w:rPr>
      <w:sz w:val="20"/>
      <w:szCs w:val="20"/>
    </w:rPr>
  </w:style>
  <w:style w:type="character" w:styleId="770" w:customStyle="1">
    <w:name w:val="Тема примечания Знак"/>
    <w:basedOn w:val="769"/>
    <w:link w:val="809"/>
    <w:uiPriority w:val="99"/>
    <w:semiHidden/>
    <w:qFormat/>
    <w:rPr>
      <w:b/>
      <w:bCs/>
      <w:sz w:val="20"/>
      <w:szCs w:val="20"/>
    </w:rPr>
  </w:style>
  <w:style w:type="character" w:styleId="771" w:customStyle="1">
    <w:name w:val="pt-a0-000002"/>
    <w:basedOn w:val="731"/>
    <w:qFormat/>
  </w:style>
  <w:style w:type="character" w:styleId="772" w:customStyle="1">
    <w:name w:val="pt-a0-000003"/>
    <w:basedOn w:val="731"/>
    <w:qFormat/>
  </w:style>
  <w:style w:type="character" w:styleId="773">
    <w:name w:val="Символ нумерации"/>
    <w:qFormat/>
  </w:style>
  <w:style w:type="paragraph" w:styleId="774">
    <w:name w:val="Заголовок"/>
    <w:basedOn w:val="706"/>
    <w:next w:val="775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775">
    <w:name w:val="Body Text"/>
    <w:basedOn w:val="706"/>
    <w:pPr>
      <w:spacing w:before="0" w:after="140" w:line="276" w:lineRule="auto"/>
    </w:pPr>
  </w:style>
  <w:style w:type="paragraph" w:styleId="776">
    <w:name w:val="List"/>
    <w:basedOn w:val="775"/>
    <w:rPr>
      <w:rFonts w:ascii="PT Astra Serif" w:hAnsi="PT Astra Serif" w:cs="Noto Sans Devanagari"/>
    </w:rPr>
  </w:style>
  <w:style w:type="paragraph" w:styleId="777">
    <w:name w:val="Caption"/>
    <w:basedOn w:val="706"/>
    <w:next w:val="706"/>
    <w:link w:val="747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778">
    <w:name w:val="Указатель"/>
    <w:basedOn w:val="706"/>
    <w:qFormat/>
    <w:pPr>
      <w:suppressLineNumbers/>
    </w:pPr>
    <w:rPr>
      <w:rFonts w:ascii="PT Astra Serif" w:hAnsi="PT Astra Serif" w:cs="Noto Sans Devanagari"/>
    </w:rPr>
  </w:style>
  <w:style w:type="paragraph" w:styleId="779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80">
    <w:name w:val="Title"/>
    <w:basedOn w:val="706"/>
    <w:next w:val="706"/>
    <w:link w:val="741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81">
    <w:name w:val="Subtitle"/>
    <w:basedOn w:val="706"/>
    <w:next w:val="706"/>
    <w:link w:val="742"/>
    <w:uiPriority w:val="11"/>
    <w:qFormat/>
    <w:pPr>
      <w:spacing w:before="200" w:after="200"/>
    </w:pPr>
  </w:style>
  <w:style w:type="paragraph" w:styleId="782">
    <w:name w:val="Quote"/>
    <w:basedOn w:val="706"/>
    <w:next w:val="706"/>
    <w:link w:val="743"/>
    <w:uiPriority w:val="29"/>
    <w:qFormat/>
    <w:pPr>
      <w:ind w:left="720" w:right="720"/>
    </w:pPr>
    <w:rPr>
      <w:i/>
    </w:rPr>
  </w:style>
  <w:style w:type="paragraph" w:styleId="783">
    <w:name w:val="Intense Quote"/>
    <w:basedOn w:val="706"/>
    <w:next w:val="706"/>
    <w:link w:val="74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84">
    <w:name w:val="footnote text"/>
    <w:basedOn w:val="706"/>
    <w:link w:val="748"/>
    <w:uiPriority w:val="99"/>
    <w:semiHidden/>
    <w:unhideWhenUsed/>
    <w:pPr>
      <w:spacing w:before="0" w:after="40"/>
    </w:pPr>
    <w:rPr>
      <w:sz w:val="18"/>
    </w:rPr>
  </w:style>
  <w:style w:type="paragraph" w:styleId="785">
    <w:name w:val="endnote text"/>
    <w:basedOn w:val="706"/>
    <w:link w:val="751"/>
    <w:uiPriority w:val="99"/>
    <w:semiHidden/>
    <w:unhideWhenUsed/>
    <w:rPr>
      <w:sz w:val="20"/>
    </w:rPr>
  </w:style>
  <w:style w:type="paragraph" w:styleId="786">
    <w:name w:val="toc 1"/>
    <w:basedOn w:val="706"/>
    <w:next w:val="706"/>
    <w:uiPriority w:val="39"/>
    <w:unhideWhenUsed/>
    <w:pPr>
      <w:spacing w:before="0" w:after="57"/>
    </w:pPr>
  </w:style>
  <w:style w:type="paragraph" w:styleId="787">
    <w:name w:val="toc 2"/>
    <w:basedOn w:val="706"/>
    <w:next w:val="706"/>
    <w:uiPriority w:val="39"/>
    <w:unhideWhenUsed/>
    <w:pPr>
      <w:ind w:left="283"/>
      <w:spacing w:before="0" w:after="57"/>
    </w:pPr>
  </w:style>
  <w:style w:type="paragraph" w:styleId="788">
    <w:name w:val="toc 3"/>
    <w:basedOn w:val="706"/>
    <w:next w:val="706"/>
    <w:uiPriority w:val="39"/>
    <w:unhideWhenUsed/>
    <w:pPr>
      <w:ind w:left="567"/>
      <w:spacing w:before="0" w:after="57"/>
    </w:pPr>
  </w:style>
  <w:style w:type="paragraph" w:styleId="789">
    <w:name w:val="toc 4"/>
    <w:basedOn w:val="706"/>
    <w:next w:val="706"/>
    <w:uiPriority w:val="39"/>
    <w:unhideWhenUsed/>
    <w:pPr>
      <w:ind w:left="850"/>
      <w:spacing w:before="0" w:after="57"/>
    </w:pPr>
  </w:style>
  <w:style w:type="paragraph" w:styleId="790">
    <w:name w:val="toc 5"/>
    <w:basedOn w:val="706"/>
    <w:next w:val="706"/>
    <w:uiPriority w:val="39"/>
    <w:unhideWhenUsed/>
    <w:pPr>
      <w:ind w:left="1134"/>
      <w:spacing w:before="0" w:after="57"/>
    </w:pPr>
  </w:style>
  <w:style w:type="paragraph" w:styleId="791">
    <w:name w:val="toc 6"/>
    <w:basedOn w:val="706"/>
    <w:next w:val="706"/>
    <w:uiPriority w:val="39"/>
    <w:unhideWhenUsed/>
    <w:pPr>
      <w:ind w:left="1417"/>
      <w:spacing w:before="0" w:after="57"/>
    </w:pPr>
  </w:style>
  <w:style w:type="paragraph" w:styleId="792">
    <w:name w:val="toc 7"/>
    <w:basedOn w:val="706"/>
    <w:next w:val="706"/>
    <w:uiPriority w:val="39"/>
    <w:unhideWhenUsed/>
    <w:pPr>
      <w:ind w:left="1701"/>
      <w:spacing w:before="0" w:after="57"/>
    </w:pPr>
  </w:style>
  <w:style w:type="paragraph" w:styleId="793">
    <w:name w:val="toc 8"/>
    <w:basedOn w:val="706"/>
    <w:next w:val="706"/>
    <w:uiPriority w:val="39"/>
    <w:unhideWhenUsed/>
    <w:pPr>
      <w:ind w:left="1984"/>
      <w:spacing w:before="0" w:after="57"/>
    </w:pPr>
  </w:style>
  <w:style w:type="paragraph" w:styleId="794">
    <w:name w:val="toc 9"/>
    <w:basedOn w:val="706"/>
    <w:next w:val="706"/>
    <w:uiPriority w:val="39"/>
    <w:unhideWhenUsed/>
    <w:pPr>
      <w:ind w:left="2268"/>
      <w:spacing w:before="0" w:after="57"/>
    </w:pPr>
  </w:style>
  <w:style w:type="paragraph" w:styleId="795">
    <w:name w:val="index heading"/>
    <w:basedOn w:val="774"/>
  </w:style>
  <w:style w:type="paragraph" w:styleId="796">
    <w:name w:val="TOC Heading"/>
    <w:uiPriority w:val="39"/>
    <w:unhideWhenUsed/>
    <w:qFormat/>
    <w:pPr>
      <w:jc w:val="left"/>
      <w:spacing w:before="0" w:after="16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97">
    <w:name w:val="table of figures"/>
    <w:basedOn w:val="706"/>
    <w:next w:val="706"/>
    <w:uiPriority w:val="99"/>
    <w:unhideWhenUsed/>
  </w:style>
  <w:style w:type="paragraph" w:styleId="798">
    <w:name w:val="Normal (Web)"/>
    <w:basedOn w:val="706"/>
    <w:uiPriority w:val="99"/>
    <w:unhideWhenUsed/>
    <w:qFormat/>
    <w:pPr>
      <w:spacing w:beforeAutospacing="1" w:afterAutospacing="1"/>
    </w:pPr>
  </w:style>
  <w:style w:type="paragraph" w:styleId="799">
    <w:name w:val="Header and Footer"/>
    <w:basedOn w:val="706"/>
    <w:qFormat/>
  </w:style>
  <w:style w:type="paragraph" w:styleId="800">
    <w:name w:val="Header"/>
    <w:basedOn w:val="706"/>
    <w:link w:val="754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  <w:rPr>
      <w:rFonts w:ascii="Calibri" w:hAnsi="Calibri" w:eastAsia="Calibri" w:cs="Arial" w:asciiTheme="minorHAnsi" w:hAnsiTheme="minorHAnsi" w:eastAsiaTheme="minorHAnsi" w:cstheme="minorBidi"/>
      <w:sz w:val="22"/>
      <w:szCs w:val="22"/>
      <w:lang w:eastAsia="en-US"/>
    </w:rPr>
  </w:style>
  <w:style w:type="paragraph" w:styleId="801">
    <w:name w:val="Footer"/>
    <w:basedOn w:val="706"/>
    <w:link w:val="755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  <w:rPr>
      <w:rFonts w:ascii="Calibri" w:hAnsi="Calibri" w:eastAsia="Calibri" w:cs="Arial" w:asciiTheme="minorHAnsi" w:hAnsiTheme="minorHAnsi" w:eastAsiaTheme="minorHAnsi" w:cstheme="minorBidi"/>
      <w:sz w:val="22"/>
      <w:szCs w:val="22"/>
      <w:lang w:eastAsia="en-US"/>
    </w:rPr>
  </w:style>
  <w:style w:type="paragraph" w:styleId="802">
    <w:name w:val="Balloon Text"/>
    <w:basedOn w:val="706"/>
    <w:link w:val="75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803">
    <w:name w:val="List Paragraph"/>
    <w:basedOn w:val="706"/>
    <w:uiPriority w:val="34"/>
    <w:qFormat/>
    <w:pPr>
      <w:contextualSpacing/>
      <w:ind w:left="720"/>
      <w:spacing w:before="0" w:after="160" w:line="259" w:lineRule="auto"/>
    </w:pPr>
    <w:rPr>
      <w:rFonts w:ascii="Calibri" w:hAnsi="Calibri" w:eastAsia="Calibri" w:cs="Arial" w:asciiTheme="minorHAnsi" w:hAnsiTheme="minorHAnsi" w:eastAsiaTheme="minorHAnsi" w:cstheme="minorBidi"/>
      <w:sz w:val="22"/>
      <w:szCs w:val="22"/>
      <w:lang w:eastAsia="en-US"/>
    </w:rPr>
  </w:style>
  <w:style w:type="paragraph" w:styleId="804">
    <w:name w:val="HTML Preformatted"/>
    <w:basedOn w:val="706"/>
    <w:link w:val="759"/>
    <w:uiPriority w:val="99"/>
    <w:unhideWhenUsed/>
    <w:qFormat/>
    <w:pPr>
      <w:tabs>
        <w:tab w:val="clear" w:pos="708" w:leader="none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805" w:customStyle="1">
    <w:name w:val="text-justif"/>
    <w:basedOn w:val="706"/>
    <w:qFormat/>
    <w:pPr>
      <w:spacing w:beforeAutospacing="1" w:afterAutospacing="1"/>
    </w:pPr>
  </w:style>
  <w:style w:type="paragraph" w:styleId="806" w:customStyle="1">
    <w:name w:val="p_namecomment"/>
    <w:basedOn w:val="706"/>
    <w:qFormat/>
    <w:pPr>
      <w:spacing w:beforeAutospacing="1" w:afterAutospacing="1"/>
    </w:pPr>
  </w:style>
  <w:style w:type="paragraph" w:styleId="807" w:customStyle="1">
    <w:name w:val="s_3"/>
    <w:basedOn w:val="706"/>
    <w:qFormat/>
    <w:pPr>
      <w:spacing w:beforeAutospacing="1" w:afterAutospacing="1"/>
    </w:pPr>
  </w:style>
  <w:style w:type="paragraph" w:styleId="808">
    <w:name w:val="annotation text"/>
    <w:basedOn w:val="706"/>
    <w:link w:val="769"/>
    <w:uiPriority w:val="99"/>
    <w:semiHidden/>
    <w:unhideWhenUsed/>
    <w:pPr>
      <w:spacing w:before="0" w:after="160"/>
    </w:pPr>
    <w:rPr>
      <w:rFonts w:ascii="Calibri" w:hAnsi="Calibri" w:eastAsia="Calibri" w:cs="Arial" w:asciiTheme="minorHAnsi" w:hAnsiTheme="minorHAnsi" w:eastAsiaTheme="minorHAnsi" w:cstheme="minorBidi"/>
      <w:sz w:val="20"/>
      <w:szCs w:val="20"/>
      <w:lang w:eastAsia="en-US"/>
    </w:rPr>
  </w:style>
  <w:style w:type="paragraph" w:styleId="809">
    <w:name w:val="annotation subject"/>
    <w:basedOn w:val="808"/>
    <w:next w:val="808"/>
    <w:link w:val="770"/>
    <w:uiPriority w:val="99"/>
    <w:semiHidden/>
    <w:unhideWhenUsed/>
    <w:qFormat/>
    <w:rPr>
      <w:b/>
      <w:bCs/>
    </w:rPr>
  </w:style>
  <w:style w:type="paragraph" w:styleId="810" w:customStyle="1">
    <w:name w:val="Default"/>
    <w:qFormat/>
    <w:pPr>
      <w:jc w:val="left"/>
      <w:spacing w:before="0" w:after="0" w:line="240" w:lineRule="auto"/>
      <w:widowControl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  <w:style w:type="paragraph" w:styleId="811" w:customStyle="1">
    <w:name w:val="pt-a-000001"/>
    <w:basedOn w:val="706"/>
    <w:qFormat/>
    <w:pPr>
      <w:spacing w:beforeAutospacing="1" w:afterAutospacing="1"/>
    </w:pPr>
  </w:style>
  <w:style w:type="numbering" w:styleId="812" w:default="1">
    <w:name w:val="Без списка"/>
    <w:uiPriority w:val="99"/>
    <w:semiHidden/>
    <w:unhideWhenUsed/>
    <w:qFormat/>
  </w:style>
  <w:style w:type="table" w:styleId="813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14" w:customStyle="1">
    <w:name w:val="Table Grid Light"/>
    <w:basedOn w:val="81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5">
    <w:name w:val="Plain Table 1"/>
    <w:basedOn w:val="81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16">
    <w:name w:val="Plain Table 2"/>
    <w:basedOn w:val="81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17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18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19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0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1" w:customStyle="1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2" w:customStyle="1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3" w:customStyle="1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4" w:customStyle="1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5" w:customStyle="1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6" w:customStyle="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7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42" w:customStyle="1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sz w:val="22"/>
      </w:rPr>
      <w:tcPr>
        <w:shd w:val="clear" w:color="deebf6" w:fill="deebf6" w:themeFill="accent1" w:themeFillTint="32"/>
      </w:tcPr>
    </w:tblStylePr>
    <w:tblStylePr w:type="band1Vert">
      <w:rPr>
        <w:sz w:val="22"/>
      </w:rPr>
      <w:tcPr>
        <w:shd w:val="clear" w:color="deebf6" w:fill="deebf6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68A2D8" w:themeColor="accent1" w:sz="4" w:space="0"/>
        </w:tcBorders>
      </w:tcPr>
    </w:tblStylePr>
  </w:style>
  <w:style w:type="table" w:styleId="843" w:customStyle="1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4B184" w:themeColor="accent2" w:sz="4" w:space="0"/>
        </w:tcBorders>
      </w:tcPr>
    </w:tblStylePr>
  </w:style>
  <w:style w:type="table" w:styleId="844" w:customStyle="1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</w:style>
  <w:style w:type="table" w:styleId="845" w:customStyle="1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D865" w:themeColor="accent4" w:sz="4" w:space="0"/>
        </w:tcBorders>
      </w:tcPr>
    </w:tblStylePr>
  </w:style>
  <w:style w:type="table" w:styleId="846" w:customStyle="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</w:tcBorders>
      </w:tcPr>
    </w:tblStylePr>
  </w:style>
  <w:style w:type="table" w:styleId="847" w:customStyle="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</w:style>
  <w:style w:type="table" w:styleId="848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sz w:val="22"/>
      </w:rPr>
      <w:tcPr>
        <w:shd w:val="clear" w:color="5b9bd5" w:fill="5b9bd5" w:themeFill="accent1"/>
      </w:tc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  <w:sz w:val="22"/>
      </w:rPr>
      <w:tcPr>
        <w:shd w:val="clear" w:color="5b9bd5" w:fill="5b9bd5" w:themeFill="accent1"/>
      </w:tcPr>
    </w:tblStylePr>
    <w:tblStylePr w:type="lastRow">
      <w:rPr>
        <w:b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sz w:val="22"/>
      </w:rPr>
      <w:tcPr>
        <w:shd w:val="clear" w:color="ed7d31" w:fill="ed7d31" w:themeFill="accent2"/>
      </w:tc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  <w:sz w:val="22"/>
      </w:rPr>
      <w:tcPr>
        <w:shd w:val="clear" w:color="ed7d31" w:fill="ed7d31" w:themeFill="accent2"/>
      </w:tcPr>
    </w:tblStylePr>
    <w:tblStylePr w:type="lastRow">
      <w:rPr>
        <w:b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sz w:val="22"/>
      </w:rPr>
      <w:tcPr>
        <w:shd w:val="clear" w:color="a5a5a5" w:fill="a5a5a5" w:themeFill="accent3"/>
      </w:tc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  <w:sz w:val="22"/>
      </w:rPr>
      <w:tcPr>
        <w:shd w:val="clear" w:color="a5a5a5" w:fill="a5a5a5" w:themeFill="accent3"/>
      </w:tcPr>
    </w:tblStylePr>
    <w:tblStylePr w:type="lastRow">
      <w:rPr>
        <w:b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sz w:val="22"/>
      </w:rPr>
      <w:tcPr>
        <w:shd w:val="clear" w:color="ffc000" w:fill="ffc000" w:themeFill="accent4"/>
      </w:tc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  <w:sz w:val="22"/>
      </w:rPr>
      <w:tcPr>
        <w:shd w:val="clear" w:color="ffc000" w:fill="ffc000" w:themeFill="accent4"/>
      </w:tcPr>
    </w:tblStylePr>
    <w:tblStylePr w:type="lastRow">
      <w:rPr>
        <w:b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sz w:val="22"/>
      </w:rPr>
      <w:tcPr>
        <w:shd w:val="clear" w:color="4472c4" w:fill="4472c4" w:themeFill="accent5"/>
      </w:tc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  <w:sz w:val="22"/>
      </w:rPr>
      <w:tcPr>
        <w:shd w:val="clear" w:color="4472c4" w:fill="4472c4" w:themeFill="accent5"/>
      </w:tcPr>
    </w:tblStylePr>
    <w:tblStylePr w:type="lastRow">
      <w:rPr>
        <w:b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sz w:val="22"/>
      </w:rPr>
      <w:tcPr>
        <w:shd w:val="clear" w:color="70ad47" w:fill="70ad47" w:themeFill="accent6"/>
      </w:tc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  <w:sz w:val="22"/>
      </w:rPr>
      <w:tcPr>
        <w:shd w:val="clear" w:color="70ad47" w:fill="70ad47" w:themeFill="accent6"/>
      </w:tcPr>
    </w:tblStylePr>
    <w:tblStylePr w:type="lastRow">
      <w:rPr>
        <w:b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55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856" w:customStyle="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</w:style>
  <w:style w:type="table" w:styleId="857" w:customStyle="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</w:style>
  <w:style w:type="table" w:styleId="858" w:customStyle="1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</w:style>
  <w:style w:type="table" w:styleId="859" w:customStyle="1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</w:style>
  <w:style w:type="table" w:styleId="860" w:customStyle="1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</w:style>
  <w:style w:type="table" w:styleId="861" w:customStyle="1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</w:style>
  <w:style w:type="table" w:styleId="862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77" w:customStyle="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878" w:customStyle="1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879" w:customStyle="1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880" w:customStyle="1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881" w:customStyle="1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882" w:customStyle="1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883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4" w:customStyle="1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5" w:customStyle="1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6" w:customStyle="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9c9c9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7" w:customStyle="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8" w:customStyle="1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da9db" w:fill="8da9db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89" w:customStyle="1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9d08e" w:fill="a9d08e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0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1" w:customStyle="1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2" w:customStyle="1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3" w:customStyle="1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4" w:customStyle="1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5" w:customStyle="1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6" w:customStyle="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97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98" w:customStyle="1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99" w:customStyle="1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0" w:customStyle="1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1" w:customStyle="1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2" w:customStyle="1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3" w:customStyle="1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04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905" w:customStyle="1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06" w:customStyle="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907" w:customStyle="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908" w:customStyle="1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909" w:customStyle="1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910" w:customStyle="1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911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ned - Accent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919" w:customStyle="1">
    <w:name w:val="Lined - Accent 1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920" w:customStyle="1">
    <w:name w:val="Lined - Accent 2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921" w:customStyle="1">
    <w:name w:val="Lined - Accent 3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922" w:customStyle="1">
    <w:name w:val="Lined - Accent 4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923" w:customStyle="1">
    <w:name w:val="Lined - Accent 5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924" w:customStyle="1">
    <w:name w:val="Lined - Accent 6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925" w:customStyle="1">
    <w:name w:val="Bordered &amp; Lined - Accent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926" w:customStyle="1">
    <w:name w:val="Bordered &amp; Lined - Accent 1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927" w:customStyle="1">
    <w:name w:val="Bordered &amp; Lined - Accent 2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928" w:customStyle="1">
    <w:name w:val="Bordered &amp; Lined - Accent 3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929" w:customStyle="1">
    <w:name w:val="Bordered &amp; Lined - Accent 4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930" w:customStyle="1">
    <w:name w:val="Bordered &amp; Lined - Accent 5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931" w:customStyle="1">
    <w:name w:val="Bordered &amp; Lined - Accent 6"/>
    <w:basedOn w:val="813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932" w:customStyle="1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33" w:customStyle="1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34" w:customStyle="1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935" w:customStyle="1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936" w:customStyle="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937" w:customStyle="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938" w:customStyle="1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939">
    <w:name w:val="Table Grid"/>
    <w:basedOn w:val="81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F20E2-AD75-4780-A071-F086AAA75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Екатерина Сергеевна</dc:creator>
  <dc:description/>
  <dc:language>ru-RU</dc:language>
  <cp:lastModifiedBy>obizhaevaoa</cp:lastModifiedBy>
  <cp:revision>26</cp:revision>
  <dcterms:created xsi:type="dcterms:W3CDTF">2025-11-01T09:47:00Z</dcterms:created>
  <dcterms:modified xsi:type="dcterms:W3CDTF">2026-07-30T14:37:58Z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